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173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000000"/>
          <w:spacing w:val="0"/>
          <w:sz w:val="30"/>
          <w:szCs w:val="30"/>
          <w:shd w:val="clear" w:fill="FFFFFF"/>
          <w:lang w:val="en-US" w:eastAsia="zh-CN"/>
        </w:rPr>
      </w:pPr>
      <w:r>
        <w:rPr>
          <w:rStyle w:val="6"/>
          <w:rFonts w:hint="eastAsia" w:ascii="宋体" w:hAnsi="宋体" w:eastAsia="宋体" w:cs="宋体"/>
          <w:i w:val="0"/>
          <w:iCs w:val="0"/>
          <w:caps w:val="0"/>
          <w:color w:val="000000"/>
          <w:spacing w:val="0"/>
          <w:sz w:val="30"/>
          <w:szCs w:val="30"/>
          <w:shd w:val="clear" w:fill="FFFFFF"/>
          <w:lang w:val="en-US" w:eastAsia="zh-CN"/>
        </w:rPr>
        <w:t>南通市海门区锦绣幼儿园2025年室外塑胶翻新维修工程</w:t>
      </w:r>
    </w:p>
    <w:p w14:paraId="16FC0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egoe UI" w:hAnsi="Segoe UI" w:eastAsia="Segoe UI" w:cs="Segoe UI"/>
          <w:i w:val="0"/>
          <w:iCs w:val="0"/>
          <w:caps w:val="0"/>
          <w:color w:val="4E5463"/>
          <w:spacing w:val="0"/>
          <w:sz w:val="21"/>
          <w:szCs w:val="21"/>
        </w:rPr>
      </w:pPr>
      <w:r>
        <w:rPr>
          <w:rStyle w:val="6"/>
          <w:rFonts w:hint="eastAsia" w:ascii="宋体" w:hAnsi="宋体" w:eastAsia="宋体" w:cs="宋体"/>
          <w:i w:val="0"/>
          <w:iCs w:val="0"/>
          <w:caps w:val="0"/>
          <w:color w:val="000000"/>
          <w:spacing w:val="0"/>
          <w:sz w:val="31"/>
          <w:szCs w:val="31"/>
          <w:shd w:val="clear" w:fill="FFFFFF"/>
        </w:rPr>
        <w:t>施工招标公告</w:t>
      </w:r>
    </w:p>
    <w:p w14:paraId="6D8BE5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egoe UI" w:hAnsi="Segoe UI" w:eastAsia="Segoe UI" w:cs="Segoe UI"/>
          <w:i w:val="0"/>
          <w:iCs w:val="0"/>
          <w:caps w:val="0"/>
          <w:color w:val="4E5463"/>
          <w:spacing w:val="0"/>
          <w:sz w:val="21"/>
          <w:szCs w:val="21"/>
        </w:rPr>
      </w:pPr>
      <w:r>
        <w:rPr>
          <w:rStyle w:val="6"/>
          <w:rFonts w:hint="eastAsia" w:ascii="宋体" w:hAnsi="宋体" w:eastAsia="宋体" w:cs="宋体"/>
          <w:i w:val="0"/>
          <w:iCs w:val="0"/>
          <w:caps w:val="0"/>
          <w:color w:val="000000"/>
          <w:spacing w:val="0"/>
          <w:sz w:val="31"/>
          <w:szCs w:val="31"/>
          <w:shd w:val="clear" w:fill="FFFFFF"/>
        </w:rPr>
        <w:t>（资格后审 电子招标 智能评标）</w:t>
      </w:r>
      <w:r>
        <w:rPr>
          <w:rFonts w:hint="eastAsia" w:ascii="宋体" w:hAnsi="宋体" w:eastAsia="宋体" w:cs="宋体"/>
          <w:i w:val="0"/>
          <w:iCs w:val="0"/>
          <w:caps w:val="0"/>
          <w:color w:val="000000"/>
          <w:spacing w:val="0"/>
          <w:sz w:val="24"/>
          <w:szCs w:val="24"/>
          <w:shd w:val="clear" w:fill="FFFFFF"/>
        </w:rPr>
        <w:t> </w:t>
      </w:r>
    </w:p>
    <w:p w14:paraId="1F6556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南通市海门区锦绣幼儿园2025年室外塑胶翻新维修工程</w:t>
      </w:r>
      <w:r>
        <w:rPr>
          <w:rFonts w:hint="eastAsia" w:ascii="宋体" w:hAnsi="宋体" w:eastAsia="宋体" w:cs="宋体"/>
          <w:i w:val="0"/>
          <w:iCs w:val="0"/>
          <w:caps w:val="0"/>
          <w:color w:val="000000"/>
          <w:spacing w:val="0"/>
          <w:kern w:val="0"/>
          <w:sz w:val="24"/>
          <w:szCs w:val="24"/>
          <w:shd w:val="clear" w:color="auto" w:fill="FFFFFF"/>
          <w:lang w:val="en-US" w:eastAsia="zh-CN" w:bidi="ar"/>
        </w:rPr>
        <w:t>已经批准建设，工程所需资金为财政资金，且已落实，拟通过招标资格后审方式确定施工单位。现将有关事项公告如下：</w:t>
      </w:r>
    </w:p>
    <w:p w14:paraId="70E229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一、工程概况：</w:t>
      </w:r>
    </w:p>
    <w:p w14:paraId="52455C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1、工程地点：南通市海门区锦绣幼儿园内；</w:t>
      </w:r>
    </w:p>
    <w:p w14:paraId="393196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2、工程内容：详见工程量清单；</w:t>
      </w:r>
    </w:p>
    <w:p w14:paraId="79B6E5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3、工程规模：具体详见工程量清单所示内容；</w:t>
      </w:r>
    </w:p>
    <w:p w14:paraId="67DFC0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4、工程质量：合格；</w:t>
      </w:r>
      <w:bookmarkStart w:id="0" w:name="_GoBack"/>
      <w:bookmarkEnd w:id="0"/>
    </w:p>
    <w:p w14:paraId="0FDD96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5、计划工期：20日历天；</w:t>
      </w:r>
    </w:p>
    <w:p w14:paraId="186BA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二、标段划分：</w:t>
      </w:r>
    </w:p>
    <w:tbl>
      <w:tblPr>
        <w:tblStyle w:val="4"/>
        <w:tblW w:w="9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70"/>
        <w:gridCol w:w="1561"/>
        <w:gridCol w:w="2570"/>
        <w:gridCol w:w="2878"/>
      </w:tblGrid>
      <w:tr w14:paraId="1D74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84" w:hRule="atLeast"/>
        </w:trPr>
        <w:tc>
          <w:tcPr>
            <w:tcW w:w="2870"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105" w:type="dxa"/>
              <w:bottom w:w="0" w:type="dxa"/>
              <w:right w:w="105" w:type="dxa"/>
            </w:tcMar>
            <w:vAlign w:val="center"/>
          </w:tcPr>
          <w:p w14:paraId="35B3F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标段划分</w:t>
            </w:r>
          </w:p>
        </w:tc>
        <w:tc>
          <w:tcPr>
            <w:tcW w:w="1561"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61C0D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合同估算价</w:t>
            </w:r>
          </w:p>
          <w:p w14:paraId="2D86B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(元)</w:t>
            </w:r>
          </w:p>
        </w:tc>
        <w:tc>
          <w:tcPr>
            <w:tcW w:w="2570"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77B7D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申请人</w:t>
            </w:r>
          </w:p>
          <w:p w14:paraId="364A4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资质类别及等级</w:t>
            </w:r>
          </w:p>
        </w:tc>
        <w:tc>
          <w:tcPr>
            <w:tcW w:w="2878"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5660C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项目负责人</w:t>
            </w:r>
          </w:p>
          <w:p w14:paraId="48F21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等 级</w:t>
            </w:r>
          </w:p>
        </w:tc>
      </w:tr>
      <w:tr w14:paraId="19E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36" w:hRule="atLeast"/>
        </w:trPr>
        <w:tc>
          <w:tcPr>
            <w:tcW w:w="2870"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105" w:type="dxa"/>
              <w:bottom w:w="0" w:type="dxa"/>
              <w:right w:w="105" w:type="dxa"/>
            </w:tcMar>
            <w:vAlign w:val="center"/>
          </w:tcPr>
          <w:p w14:paraId="242AB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Calibri" w:hAnsi="Calibri"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南通市海门区锦绣幼儿园2025年室外塑胶翻新维修工程</w:t>
            </w:r>
          </w:p>
        </w:tc>
        <w:tc>
          <w:tcPr>
            <w:tcW w:w="1561"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3DB3F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4"/>
                <w:lang w:val="en-US" w:eastAsia="zh-CN" w:bidi="ar"/>
              </w:rPr>
            </w:pPr>
            <w:r>
              <w:rPr>
                <w:rFonts w:hint="eastAsia" w:ascii="Calibri" w:hAnsi="Calibri" w:eastAsia="Segoe UI" w:cs="Calibri"/>
                <w:i w:val="0"/>
                <w:iCs w:val="0"/>
                <w:caps w:val="0"/>
                <w:color w:val="000000"/>
                <w:spacing w:val="0"/>
                <w:kern w:val="0"/>
                <w:sz w:val="24"/>
                <w:szCs w:val="24"/>
                <w:lang w:val="en-US" w:eastAsia="zh-CN" w:bidi="ar"/>
              </w:rPr>
              <w:t>229998.38</w:t>
            </w:r>
          </w:p>
        </w:tc>
        <w:tc>
          <w:tcPr>
            <w:tcW w:w="2570"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59A3E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Calibri" w:hAnsi="Calibri"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市政公用工程施工总承包叁级及以上资质</w:t>
            </w:r>
          </w:p>
        </w:tc>
        <w:tc>
          <w:tcPr>
            <w:tcW w:w="2878" w:type="dxa"/>
            <w:tcBorders>
              <w:top w:val="single" w:color="DDDDDD" w:sz="6" w:space="0"/>
              <w:left w:val="single" w:color="DDDDDD" w:sz="6" w:space="0"/>
              <w:bottom w:val="single" w:color="DDDDDD" w:sz="6" w:space="0"/>
              <w:right w:val="single" w:color="DDDDDD" w:sz="6" w:space="0"/>
            </w:tcBorders>
            <w:shd w:val="clear" w:color="auto" w:fill="FFFFFF"/>
            <w:noWrap w:val="0"/>
            <w:vAlign w:val="center"/>
          </w:tcPr>
          <w:p w14:paraId="6231A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Calibri" w:hAnsi="Calibri"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市政公用工程专业注册建造师贰级及以上资质</w:t>
            </w:r>
          </w:p>
        </w:tc>
      </w:tr>
    </w:tbl>
    <w:p w14:paraId="7068FE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三、投标单位应当具备的资格条件：</w:t>
      </w:r>
    </w:p>
    <w:p w14:paraId="7E5BFB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3.1本次招标要求投标人须具有独立法人资格和</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市政公用工程施工总承包叁级及以上资质</w:t>
      </w:r>
      <w:r>
        <w:rPr>
          <w:rFonts w:hint="eastAsia" w:ascii="宋体" w:hAnsi="宋体" w:eastAsia="宋体" w:cs="宋体"/>
          <w:i w:val="0"/>
          <w:iCs w:val="0"/>
          <w:caps w:val="0"/>
          <w:color w:val="000000"/>
          <w:spacing w:val="0"/>
          <w:kern w:val="0"/>
          <w:sz w:val="24"/>
          <w:szCs w:val="24"/>
          <w:shd w:val="clear" w:color="auto" w:fill="FFFFFF"/>
          <w:lang w:val="en-US" w:eastAsia="zh-CN" w:bidi="ar"/>
        </w:rPr>
        <w:t>，并在人员、设备、资金等方面具有相应的施工能力，其中，投标人拟派项目负责人具备</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市政公用工程专业注册建造师贰级及以上资质，建设行政主管部门核发的安全生产考核B证</w:t>
      </w:r>
      <w:r>
        <w:rPr>
          <w:rFonts w:hint="eastAsia" w:ascii="宋体" w:hAnsi="宋体" w:eastAsia="宋体" w:cs="宋体"/>
          <w:i w:val="0"/>
          <w:iCs w:val="0"/>
          <w:caps w:val="0"/>
          <w:color w:val="000000"/>
          <w:spacing w:val="0"/>
          <w:kern w:val="0"/>
          <w:sz w:val="24"/>
          <w:szCs w:val="24"/>
          <w:shd w:val="clear" w:color="auto" w:fill="FFFFFF"/>
          <w:lang w:val="en-US" w:eastAsia="zh-CN" w:bidi="ar"/>
        </w:rPr>
        <w:t>。</w:t>
      </w:r>
    </w:p>
    <w:p w14:paraId="661822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投标人在投标文件递交截止时间当日，建筑业企业资质动态监管结果未处于不合格状态。</w:t>
      </w:r>
    </w:p>
    <w:p w14:paraId="03FA2B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3.2以下条件属于资格审查的必要合格条件： </w:t>
      </w:r>
    </w:p>
    <w:p w14:paraId="488FCD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1、具有独立法人资格，并具有订立合同的能力；</w:t>
      </w:r>
    </w:p>
    <w:p w14:paraId="28D9C5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2、未处于被责令停业、投标资格被取消或者财产被接管、冻结和破产状态；</w:t>
      </w:r>
    </w:p>
    <w:p w14:paraId="2C6E0A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3、企业没有因骗取中标或者严重违约以及发生重大工程质量、安全生产事故等问题，被有关部门暂停投标资格并在暂停期内；</w:t>
      </w:r>
    </w:p>
    <w:p w14:paraId="26B527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4、企业的资质类别、等级满足招标公告要求；</w:t>
      </w:r>
    </w:p>
    <w:p w14:paraId="58D455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5、资格审查申请书中的所有内容没有失实或者弄虚作假；</w:t>
      </w:r>
    </w:p>
    <w:p w14:paraId="37494A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6、拟派项目负责人资质类别、等级满足招标公告要求且无在建工程；</w:t>
      </w:r>
    </w:p>
    <w:p w14:paraId="494EF1A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7、拟派项目负责人为投标企业正式人员，不得兼职。</w:t>
      </w:r>
    </w:p>
    <w:p w14:paraId="2D3E5F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请投标人登录海门区限额以下公共资源智慧交易及一体化监管平台（xe.hmdzzw.cn）-供应商入口—账号登陆—立即注册（注册后完善企业信息并提交审核）、同时下载绑定标证通，再进行登录、报名，报名后才能下载招标文件（含工程量清单）、图纸、招标控制价、招标文件澄清等内容。</w:t>
      </w:r>
    </w:p>
    <w:p w14:paraId="50A555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标证通办理指南：海门区限额以下公共资源智慧交易及一体化监管平台-交易服务-CA互认-帮助中心；投标人操作手册：海门区限额以下公共资源智慧交易及一体化监管平台-服务指南-办事指南；该项目为新系统如有系统操作问题请及时联系软件公司：技术咨询电话4009280095-5，17625740807（余工），18862609683（吴工）。</w:t>
      </w:r>
    </w:p>
    <w:p w14:paraId="0D73C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注意：标证通ca证书申领审批需要时间，请投标单位在第一时间进行申领。（中国金融认证中心（CFCA）证书应急联系电话：15189703290（仅工作日））</w:t>
      </w:r>
    </w:p>
    <w:p w14:paraId="643FED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3.3本次招标</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不接受 （</w:t>
      </w:r>
      <w:r>
        <w:rPr>
          <w:rFonts w:hint="eastAsia" w:ascii="宋体" w:hAnsi="宋体" w:eastAsia="宋体" w:cs="宋体"/>
          <w:i w:val="0"/>
          <w:iCs w:val="0"/>
          <w:caps w:val="0"/>
          <w:color w:val="000000"/>
          <w:spacing w:val="0"/>
          <w:kern w:val="0"/>
          <w:sz w:val="24"/>
          <w:szCs w:val="24"/>
          <w:shd w:val="clear" w:color="auto" w:fill="FFFFFF"/>
          <w:lang w:val="en-US" w:eastAsia="zh-CN" w:bidi="ar"/>
        </w:rPr>
        <w:t>接受或不接受）联合体投标。</w:t>
      </w:r>
    </w:p>
    <w:p w14:paraId="075835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3.4各投标人均可就本招标项目上述标段中的</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1 （</w:t>
      </w:r>
      <w:r>
        <w:rPr>
          <w:rFonts w:hint="eastAsia" w:ascii="宋体" w:hAnsi="宋体" w:eastAsia="宋体" w:cs="宋体"/>
          <w:i w:val="0"/>
          <w:iCs w:val="0"/>
          <w:caps w:val="0"/>
          <w:color w:val="000000"/>
          <w:spacing w:val="0"/>
          <w:kern w:val="0"/>
          <w:sz w:val="24"/>
          <w:szCs w:val="24"/>
          <w:shd w:val="clear" w:color="auto" w:fill="FFFFFF"/>
          <w:lang w:val="en-US" w:eastAsia="zh-CN" w:bidi="ar"/>
        </w:rPr>
        <w:t>具体数量）个标段投标，但最多允许中标</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1 </w:t>
      </w:r>
      <w:r>
        <w:rPr>
          <w:rFonts w:hint="eastAsia" w:ascii="宋体" w:hAnsi="宋体" w:eastAsia="宋体" w:cs="宋体"/>
          <w:i w:val="0"/>
          <w:iCs w:val="0"/>
          <w:caps w:val="0"/>
          <w:color w:val="000000"/>
          <w:spacing w:val="0"/>
          <w:kern w:val="0"/>
          <w:sz w:val="24"/>
          <w:szCs w:val="24"/>
          <w:shd w:val="clear" w:color="auto" w:fill="FFFFFF"/>
          <w:lang w:val="en-US" w:eastAsia="zh-CN" w:bidi="ar"/>
        </w:rPr>
        <w:t>（具体数量）个标段。</w:t>
      </w:r>
    </w:p>
    <w:p w14:paraId="6EE24F4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四、招标文件等获取方式：</w:t>
      </w:r>
    </w:p>
    <w:p w14:paraId="0C8A0F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4.1本工程投标人的资格审查采用资格后审方式，招标人不组织投标人对工程现场的集中踏勘。凡有意参加投标者需要网上报名，请在投标截止前登录</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海门区限额以下公共资源智慧交易及一体化监管平台-供应商入口—账号登陆—立即注册（注册后完善企业信息并提交审核）</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eastAsia="宋体" w:cs="宋体"/>
          <w:b/>
          <w:i w:val="0"/>
          <w:iCs w:val="0"/>
          <w:caps w:val="0"/>
          <w:color w:val="000000"/>
          <w:spacing w:val="0"/>
          <w:kern w:val="2"/>
          <w:sz w:val="24"/>
          <w:szCs w:val="24"/>
          <w:shd w:val="clear" w:color="auto" w:fill="FFFFFF"/>
          <w:lang w:val="en-US" w:eastAsia="zh-CN" w:bidi="ar-SA"/>
        </w:rPr>
        <w:t>同时下载绑定标证通（具体操作详见交易服务-CA互认-帮助中心</w: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instrText xml:space="preserve"> HYPERLINK "https://zhidao.bqpoint.com/epointknow2/bqepointknowquestion.html?producttype=9&amp;CategoryCode=41&amp;QuestionGuid=03d9ccfe-d275-495f-8b59-61a5aabcf380" </w:instrTex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separate"/>
      </w:r>
      <w:r>
        <w:rPr>
          <w:rFonts w:hint="eastAsia" w:ascii="宋体" w:hAnsi="宋体" w:eastAsia="宋体" w:cs="宋体"/>
          <w:i w:val="0"/>
          <w:iCs w:val="0"/>
          <w:caps w:val="0"/>
          <w:color w:val="000000"/>
          <w:spacing w:val="0"/>
          <w:kern w:val="2"/>
          <w:sz w:val="24"/>
          <w:szCs w:val="24"/>
          <w:u w:val="none"/>
          <w:shd w:val="clear" w:color="auto" w:fill="FFFFFF"/>
          <w:lang w:val="en-US" w:eastAsia="zh-CN" w:bidi="ar-SA"/>
        </w:rPr>
        <w:t>【新点标证通】操作手册</w: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end"/>
      </w:r>
      <w:r>
        <w:rPr>
          <w:rFonts w:hint="eastAsia" w:ascii="宋体" w:hAnsi="宋体" w:eastAsia="宋体" w:cs="宋体"/>
          <w:b/>
          <w:i w:val="0"/>
          <w:iCs w:val="0"/>
          <w:caps w:val="0"/>
          <w:color w:val="000000"/>
          <w:spacing w:val="0"/>
          <w:kern w:val="2"/>
          <w:sz w:val="24"/>
          <w:szCs w:val="24"/>
          <w:shd w:val="clear" w:color="auto" w:fill="FFFFFF"/>
          <w:lang w:val="en-US" w:eastAsia="zh-CN" w:bidi="ar-SA"/>
        </w:rPr>
        <w:t>等）</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eastAsia="宋体" w:cs="宋体"/>
          <w:b/>
          <w:i w:val="0"/>
          <w:iCs w:val="0"/>
          <w:caps w:val="0"/>
          <w:color w:val="000000"/>
          <w:spacing w:val="0"/>
          <w:kern w:val="2"/>
          <w:sz w:val="24"/>
          <w:szCs w:val="24"/>
          <w:shd w:val="clear" w:color="auto" w:fill="FFFFFF"/>
          <w:lang w:val="en-US" w:eastAsia="zh-CN" w:bidi="ar-SA"/>
        </w:rPr>
        <w:t>再进行登录、报名</w:t>
      </w:r>
      <w:r>
        <w:rPr>
          <w:rFonts w:hint="eastAsia" w:ascii="宋体" w:hAnsi="宋体" w:eastAsia="宋体" w:cs="宋体"/>
          <w:i w:val="0"/>
          <w:iCs w:val="0"/>
          <w:caps w:val="0"/>
          <w:color w:val="000000"/>
          <w:spacing w:val="0"/>
          <w:kern w:val="0"/>
          <w:sz w:val="24"/>
          <w:szCs w:val="24"/>
          <w:shd w:val="clear" w:color="auto" w:fill="FFFFFF"/>
          <w:lang w:val="en-US" w:eastAsia="zh-CN" w:bidi="ar"/>
        </w:rPr>
        <w:t>，报名后在系统中直接下载招标文件。</w:t>
      </w:r>
    </w:p>
    <w:p w14:paraId="2E518F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备注:已经在海门区限额以下公共资源智慧交易及一体化监管平台注册并绑定标证通的投标人，直接登录海门区限额以下公共资源智慧交易及一体化监管平台-供应商入口进行报名，未备案注册的投标单位请访问海门区限额以下公共资源智慧交易及一体化监管平台进行注册，并按照相关要求提交后进行网上报名。</w:t>
      </w:r>
    </w:p>
    <w:p w14:paraId="33D8B0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五、投标文件的递交</w:t>
      </w:r>
    </w:p>
    <w:p w14:paraId="2E8F16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5.1投标文件递交的截止时间（投标截止时间，下同）为</w:t>
      </w:r>
      <w:r>
        <w:rPr>
          <w:rFonts w:hint="default" w:ascii="Calibri" w:hAnsi="Calibri" w:eastAsia="Segoe UI" w:cs="Calibri"/>
          <w:b/>
          <w:i w:val="0"/>
          <w:iCs w:val="0"/>
          <w:caps w:val="0"/>
          <w:color w:val="000000"/>
          <w:spacing w:val="0"/>
          <w:kern w:val="2"/>
          <w:sz w:val="24"/>
          <w:szCs w:val="24"/>
          <w:u w:val="single"/>
          <w:shd w:val="clear" w:color="auto" w:fill="FFFFFF"/>
          <w:lang w:val="en-US" w:eastAsia="zh-CN" w:bidi="ar-SA"/>
        </w:rPr>
        <w:t>2025</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年</w:t>
      </w:r>
      <w:r>
        <w:rPr>
          <w:rFonts w:hint="eastAsia" w:ascii="Calibri" w:hAnsi="Calibri" w:eastAsia="宋体" w:cs="Calibri"/>
          <w:b/>
          <w:i w:val="0"/>
          <w:iCs w:val="0"/>
          <w:caps w:val="0"/>
          <w:color w:val="000000"/>
          <w:spacing w:val="0"/>
          <w:kern w:val="2"/>
          <w:sz w:val="24"/>
          <w:szCs w:val="24"/>
          <w:u w:val="single"/>
          <w:shd w:val="clear" w:color="auto" w:fill="FFFFFF"/>
          <w:lang w:val="en-US" w:eastAsia="zh-CN" w:bidi="ar-SA"/>
        </w:rPr>
        <w:t>08</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月</w:t>
      </w:r>
      <w:r>
        <w:rPr>
          <w:rFonts w:hint="eastAsia" w:ascii="Calibri" w:hAnsi="Calibri" w:eastAsia="宋体" w:cs="Calibri"/>
          <w:b/>
          <w:i w:val="0"/>
          <w:iCs w:val="0"/>
          <w:caps w:val="0"/>
          <w:color w:val="000000"/>
          <w:spacing w:val="0"/>
          <w:kern w:val="2"/>
          <w:sz w:val="24"/>
          <w:szCs w:val="24"/>
          <w:u w:val="single"/>
          <w:shd w:val="clear" w:color="auto" w:fill="FFFFFF"/>
          <w:lang w:val="en-US" w:eastAsia="zh-CN" w:bidi="ar-SA"/>
        </w:rPr>
        <w:t>11</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日</w:t>
      </w:r>
      <w:r>
        <w:rPr>
          <w:rFonts w:hint="eastAsia" w:ascii="Calibri" w:hAnsi="Calibri" w:eastAsia="宋体" w:cs="Calibri"/>
          <w:b/>
          <w:i w:val="0"/>
          <w:iCs w:val="0"/>
          <w:caps w:val="0"/>
          <w:color w:val="000000"/>
          <w:spacing w:val="0"/>
          <w:kern w:val="2"/>
          <w:sz w:val="24"/>
          <w:szCs w:val="24"/>
          <w:u w:val="single"/>
          <w:shd w:val="clear" w:color="auto" w:fill="FFFFFF"/>
          <w:lang w:val="en-US" w:eastAsia="zh-CN" w:bidi="ar-SA"/>
        </w:rPr>
        <w:t>14</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时</w:t>
      </w:r>
      <w:r>
        <w:rPr>
          <w:rFonts w:hint="eastAsia" w:ascii="Calibri" w:hAnsi="Calibri" w:eastAsia="宋体" w:cs="Calibri"/>
          <w:b/>
          <w:i w:val="0"/>
          <w:iCs w:val="0"/>
          <w:caps w:val="0"/>
          <w:color w:val="000000"/>
          <w:spacing w:val="0"/>
          <w:kern w:val="2"/>
          <w:sz w:val="24"/>
          <w:szCs w:val="24"/>
          <w:u w:val="single"/>
          <w:shd w:val="clear" w:color="auto" w:fill="FFFFFF"/>
          <w:lang w:val="en-US" w:eastAsia="zh-CN" w:bidi="ar-SA"/>
        </w:rPr>
        <w:t>30</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分</w:t>
      </w:r>
      <w:r>
        <w:rPr>
          <w:rFonts w:hint="eastAsia" w:ascii="宋体" w:hAnsi="宋体" w:eastAsia="宋体" w:cs="宋体"/>
          <w:i w:val="0"/>
          <w:iCs w:val="0"/>
          <w:caps w:val="0"/>
          <w:color w:val="000000"/>
          <w:spacing w:val="0"/>
          <w:kern w:val="0"/>
          <w:sz w:val="24"/>
          <w:szCs w:val="24"/>
          <w:shd w:val="clear" w:color="auto" w:fill="FFFFFF"/>
          <w:lang w:val="en-US" w:eastAsia="zh-CN" w:bidi="ar"/>
        </w:rPr>
        <w:t>，电子文本投标文件递交地点为系统网上报名，报名后才能下载招标文件，电子投标文件递交的信息系统为</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w:t>
      </w:r>
      <w:r>
        <w:rPr>
          <w:rFonts w:hint="eastAsia" w:ascii="宋体" w:hAnsi="宋体" w:eastAsia="宋体" w:cs="宋体"/>
          <w:i w:val="0"/>
          <w:iCs w:val="0"/>
          <w:caps w:val="0"/>
          <w:color w:val="000000"/>
          <w:spacing w:val="0"/>
          <w:kern w:val="0"/>
          <w:sz w:val="24"/>
          <w:szCs w:val="24"/>
          <w:shd w:val="clear" w:color="auto" w:fill="FFFFFF"/>
          <w:lang w:val="en-US" w:eastAsia="zh-CN" w:bidi="ar"/>
        </w:rPr>
        <w:t>。</w:t>
      </w:r>
    </w:p>
    <w:p w14:paraId="14D244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5.2逾期送达的或者未送达指定地点的投标文件，招标人不予受理。</w:t>
      </w:r>
    </w:p>
    <w:p w14:paraId="7DCCBC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六、评标办法:经评审的最低投标价法，具体详见招标文件第二章内容；</w:t>
      </w:r>
    </w:p>
    <w:p w14:paraId="6E09463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七、发布公告的媒介：</w:t>
      </w:r>
    </w:p>
    <w:p w14:paraId="6F34EC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465"/>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本次招标公告发布在“</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海门区限额以下公共资源智慧交易及一体化监管平台（xe.hmdzzw.cn）</w:t>
      </w:r>
      <w:r>
        <w:rPr>
          <w:rFonts w:hint="eastAsia" w:ascii="宋体" w:hAnsi="宋体" w:eastAsia="宋体" w:cs="宋体"/>
          <w:i w:val="0"/>
          <w:iCs w:val="0"/>
          <w:caps w:val="0"/>
          <w:color w:val="000000"/>
          <w:spacing w:val="0"/>
          <w:kern w:val="0"/>
          <w:sz w:val="24"/>
          <w:szCs w:val="24"/>
          <w:shd w:val="clear" w:color="auto" w:fill="FFFFFF"/>
          <w:lang w:val="en-US" w:eastAsia="zh-CN" w:bidi="ar"/>
        </w:rPr>
        <w:t>”网上。</w:t>
      </w:r>
    </w:p>
    <w:p w14:paraId="21A65A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八、其他事项：</w:t>
      </w:r>
    </w:p>
    <w:p w14:paraId="6F3AD5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8.1本工程采用</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远程不见面交易</w:t>
      </w:r>
      <w:r>
        <w:rPr>
          <w:rFonts w:hint="eastAsia" w:ascii="宋体" w:hAnsi="宋体" w:eastAsia="宋体" w:cs="宋体"/>
          <w:b/>
          <w:i w:val="0"/>
          <w:iCs w:val="0"/>
          <w:caps w:val="0"/>
          <w:color w:val="000000"/>
          <w:spacing w:val="0"/>
          <w:kern w:val="2"/>
          <w:sz w:val="24"/>
          <w:szCs w:val="24"/>
          <w:shd w:val="clear" w:color="auto" w:fill="FFFFFF"/>
          <w:lang w:val="en-US" w:eastAsia="zh-CN" w:bidi="ar-SA"/>
        </w:rPr>
        <w:t>的模式，具体详见招标文件。</w:t>
      </w:r>
    </w:p>
    <w:p w14:paraId="20BDDB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8.2未按招标文件要求提交投标保证金的，其投标文件不予接受。</w:t>
      </w:r>
    </w:p>
    <w:p w14:paraId="755006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8.3招标公告系招标文件的组成部分，与招标文件具有同等法律效力。</w:t>
      </w:r>
    </w:p>
    <w:p w14:paraId="775838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九、联系方式</w:t>
      </w:r>
    </w:p>
    <w:tbl>
      <w:tblPr>
        <w:tblStyle w:val="4"/>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44"/>
        <w:gridCol w:w="3252"/>
        <w:gridCol w:w="1406"/>
        <w:gridCol w:w="3956"/>
      </w:tblGrid>
      <w:tr w14:paraId="7B8F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1144"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5A045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招标人</w:t>
            </w:r>
            <w:r>
              <w:rPr>
                <w:rFonts w:hint="eastAsia" w:ascii="宋体" w:hAnsi="宋体" w:eastAsia="宋体" w:cs="宋体"/>
                <w:i w:val="0"/>
                <w:iCs w:val="0"/>
                <w:caps w:val="0"/>
                <w:color w:val="000000"/>
                <w:spacing w:val="0"/>
                <w:kern w:val="0"/>
                <w:sz w:val="22"/>
                <w:szCs w:val="22"/>
                <w:lang w:val="en-US" w:eastAsia="zh-CN" w:bidi="ar"/>
              </w:rPr>
              <w:t>：</w:t>
            </w:r>
          </w:p>
        </w:tc>
        <w:tc>
          <w:tcPr>
            <w:tcW w:w="3252"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75BDD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Calibri" w:hAnsi="Calibri" w:eastAsia="宋体" w:cs="宋体"/>
                <w:kern w:val="0"/>
                <w:sz w:val="24"/>
                <w:szCs w:val="21"/>
                <w:lang w:val="en-US" w:eastAsia="zh-CN" w:bidi="ar"/>
              </w:rPr>
              <w:t>南通市海门区锦绣幼儿园</w:t>
            </w:r>
          </w:p>
        </w:tc>
        <w:tc>
          <w:tcPr>
            <w:tcW w:w="140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427C0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代理机构：</w:t>
            </w:r>
          </w:p>
        </w:tc>
        <w:tc>
          <w:tcPr>
            <w:tcW w:w="395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129EA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江苏建安造价师事务所有限公司</w:t>
            </w:r>
          </w:p>
        </w:tc>
      </w:tr>
      <w:tr w14:paraId="46E9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144"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4BE7F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地 址：</w:t>
            </w:r>
          </w:p>
        </w:tc>
        <w:tc>
          <w:tcPr>
            <w:tcW w:w="3252"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13CE8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Calibri" w:hAnsi="Calibri" w:eastAsia="宋体" w:cs="宋体"/>
                <w:kern w:val="0"/>
                <w:sz w:val="24"/>
                <w:szCs w:val="21"/>
                <w:lang w:val="en-US" w:eastAsia="zh-CN" w:bidi="ar"/>
              </w:rPr>
              <w:t>南通市海门区丝绸路349号</w:t>
            </w:r>
          </w:p>
        </w:tc>
        <w:tc>
          <w:tcPr>
            <w:tcW w:w="140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5E645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地  址：</w:t>
            </w:r>
          </w:p>
        </w:tc>
        <w:tc>
          <w:tcPr>
            <w:tcW w:w="395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2319E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海门区中南世纪锦城56幢715室</w:t>
            </w:r>
          </w:p>
        </w:tc>
      </w:tr>
      <w:tr w14:paraId="4439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rPr>
        <w:tc>
          <w:tcPr>
            <w:tcW w:w="1144"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3B9AA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p>
        </w:tc>
        <w:tc>
          <w:tcPr>
            <w:tcW w:w="3252"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36BEE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eastAsia="宋体" w:cs="宋体"/>
                <w:kern w:val="0"/>
                <w:sz w:val="24"/>
                <w:szCs w:val="21"/>
                <w:lang w:val="en-US" w:eastAsia="zh-CN" w:bidi="ar"/>
              </w:rPr>
            </w:pPr>
            <w:r>
              <w:rPr>
                <w:rFonts w:hint="eastAsia" w:ascii="Calibri" w:hAnsi="Calibri" w:eastAsia="宋体" w:cs="宋体"/>
                <w:kern w:val="0"/>
                <w:sz w:val="24"/>
                <w:szCs w:val="21"/>
                <w:lang w:val="en-US" w:eastAsia="zh-CN" w:bidi="ar"/>
              </w:rPr>
              <w:t>钱女士</w:t>
            </w:r>
          </w:p>
        </w:tc>
        <w:tc>
          <w:tcPr>
            <w:tcW w:w="140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43AC0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联 系 人：</w:t>
            </w:r>
          </w:p>
        </w:tc>
        <w:tc>
          <w:tcPr>
            <w:tcW w:w="395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41ABC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彭先生</w:t>
            </w:r>
          </w:p>
        </w:tc>
      </w:tr>
      <w:tr w14:paraId="2CD7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1144"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721F4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电 话：</w:t>
            </w:r>
          </w:p>
        </w:tc>
        <w:tc>
          <w:tcPr>
            <w:tcW w:w="3252"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6ECE3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Calibri" w:hAnsi="Calibri" w:eastAsia="宋体" w:cs="宋体"/>
                <w:kern w:val="0"/>
                <w:sz w:val="24"/>
                <w:szCs w:val="21"/>
                <w:lang w:val="en-US" w:eastAsia="zh-CN" w:bidi="ar"/>
              </w:rPr>
              <w:t>13656273322</w:t>
            </w:r>
          </w:p>
        </w:tc>
        <w:tc>
          <w:tcPr>
            <w:tcW w:w="140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0A55D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eastAsia="宋体" w:cs="宋体"/>
                <w:kern w:val="0"/>
                <w:sz w:val="24"/>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电  话：</w:t>
            </w:r>
          </w:p>
        </w:tc>
        <w:tc>
          <w:tcPr>
            <w:tcW w:w="3956" w:type="dxa"/>
            <w:tcBorders>
              <w:top w:val="single" w:color="DDDDDD" w:sz="6" w:space="0"/>
              <w:left w:val="single" w:color="DDDDDD" w:sz="6" w:space="0"/>
              <w:bottom w:val="single" w:color="DDDDDD" w:sz="6" w:space="0"/>
              <w:right w:val="single" w:color="DDDDDD" w:sz="6" w:space="0"/>
            </w:tcBorders>
            <w:shd w:val="clear" w:color="auto" w:fill="FFFFFF"/>
            <w:noWrap w:val="0"/>
            <w:tcMar>
              <w:top w:w="0" w:type="dxa"/>
              <w:left w:w="0" w:type="dxa"/>
              <w:bottom w:w="0" w:type="dxa"/>
              <w:right w:w="0" w:type="dxa"/>
            </w:tcMar>
            <w:vAlign w:val="center"/>
          </w:tcPr>
          <w:p w14:paraId="25BB6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eastAsia="宋体" w:cs="宋体"/>
                <w:kern w:val="0"/>
                <w:sz w:val="24"/>
                <w:szCs w:val="21"/>
                <w:lang w:val="en-US" w:eastAsia="zh-CN" w:bidi="ar"/>
              </w:rPr>
            </w:pPr>
            <w:r>
              <w:rPr>
                <w:rFonts w:hint="eastAsia" w:ascii="Calibri" w:hAnsi="Calibri" w:eastAsia="宋体" w:cs="Calibri"/>
                <w:i w:val="0"/>
                <w:iCs w:val="0"/>
                <w:caps w:val="0"/>
                <w:color w:val="000000"/>
                <w:spacing w:val="0"/>
                <w:kern w:val="0"/>
                <w:sz w:val="24"/>
                <w:szCs w:val="24"/>
                <w:lang w:val="en-US" w:eastAsia="zh-CN" w:bidi="ar"/>
              </w:rPr>
              <w:t>13390977677</w:t>
            </w:r>
          </w:p>
        </w:tc>
      </w:tr>
    </w:tbl>
    <w:p w14:paraId="746BC4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C04D0"/>
    <w:rsid w:val="0FEA72CE"/>
    <w:rsid w:val="254F49F2"/>
    <w:rsid w:val="29DD1FAA"/>
    <w:rsid w:val="452B128D"/>
    <w:rsid w:val="4927514F"/>
    <w:rsid w:val="4A251463"/>
    <w:rsid w:val="4F8A20EB"/>
    <w:rsid w:val="6F4C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ajorEastAsia"/>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1842</Words>
  <Characters>1980</Characters>
  <Lines>0</Lines>
  <Paragraphs>0</Paragraphs>
  <TotalTime>0</TotalTime>
  <ScaleCrop>false</ScaleCrop>
  <LinksUpToDate>false</LinksUpToDate>
  <CharactersWithSpaces>2005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2025-07-14T01:22:00Z</dcterms:created>
  <dc:creator>知足常乐。</dc:creator>
  <cp:lastModifiedBy>Administrator</cp:lastModifiedBy>
  <dcterms:modified xsi:type="dcterms:W3CDTF">2025-07-29T07:28:01Z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377C116674ED4152AF330EC93EAA2EF4_11</vt:lpwstr>
  </property>
  <property fmtid="{D5CDD505-2E9C-101B-9397-08002B2CF9AE}" pid="4" name="KSOTemplateDocerSaveRecord">
    <vt:lpwstr>eyJoZGlkIjoiMWE1NjMwNThmYjJhNWVlYWY3YTNmNjAzZjc2YWFkNGEiLCJ1c2VySWQiOiI3MDU0ODg5ODYifQ==</vt:lpwstr>
  </property>
</Properties>
</file>